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40"/>
          <w:szCs w:val="40"/>
        </w:rPr>
      </w:pPr>
      <w:r w:rsidDel="00000000" w:rsidR="00000000" w:rsidRPr="00000000">
        <w:rPr>
          <w:sz w:val="40"/>
          <w:szCs w:val="40"/>
          <w:rtl w:val="0"/>
        </w:rPr>
        <w:t xml:space="preserve">ACLARACIÓN  REGISTRO DE INASISTENCIAS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36"/>
          <w:szCs w:val="36"/>
        </w:rPr>
      </w:pPr>
      <w:r w:rsidDel="00000000" w:rsidR="00000000" w:rsidRPr="00000000">
        <w:rPr>
          <w:sz w:val="34"/>
          <w:szCs w:val="34"/>
          <w:rtl w:val="0"/>
        </w:rPr>
        <w:t xml:space="preserve">No se reflejan aún  las inasistencias registradas , este informe se actualizará el próximo mes.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bUngUPHBv81cBvh0aVpCqhWdPFQ==">CgMxLjA4AHIhMUM5amducFZBV1FFVld2T2thX3FsUzgxMUhvUEdOQU1B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